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Доклад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заместителя руководителя Центрального управления Ростехнадзора Филатова Александра Владимировича</w:t>
      </w:r>
      <w:bookmarkStart w:id="0" w:name="_GoBack"/>
      <w:bookmarkEnd w:id="0"/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Уважаемые участники совещания!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Федеральным законом от 31 июля 2020 г. № 248-ФЗ                                                «О государственном контроле (надзоре) и муниципальном контроле                                      в Российской Федерации», вступившем в силу с 1 июля 2021 года, закреплен принцип стимулирования добросовестного соблюдения обязательных требований.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(слайд № 2) </w:t>
      </w:r>
      <w:r>
        <w:rPr>
          <w:rFonts w:cs="Times New Roman" w:ascii="Times New Roman" w:hAnsi="Times New Roman"/>
          <w:sz w:val="32"/>
          <w:szCs w:val="32"/>
        </w:rPr>
        <w:t>Управление осуществляет контроль на территории шести субъектов Российской Федерации: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- Московская область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- Тверская область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- Ярославская область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- Костромская область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- Ивановская область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- Владимирская область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(слайд № 3)</w:t>
      </w:r>
      <w:r>
        <w:rPr>
          <w:rFonts w:cs="Times New Roman" w:ascii="Times New Roman" w:hAnsi="Times New Roman"/>
          <w:sz w:val="32"/>
          <w:szCs w:val="32"/>
        </w:rPr>
        <w:t xml:space="preserve"> Под надзором управления в целом находится бо</w:t>
      </w:r>
      <w:r>
        <w:rPr>
          <w:rFonts w:cs="Times New Roman" w:ascii="Times New Roman" w:hAnsi="Times New Roman"/>
          <w:sz w:val="32"/>
          <w:szCs w:val="32"/>
          <w:shd w:fill="FFFFFF" w:val="clear"/>
        </w:rPr>
        <w:t>лее 215 000 объектов, из них 16 418 – опасные производственные объекты.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Постановлением Правительства Российской Федерации</w:t>
        <w:br/>
        <w:t>№ 336 от 10 марта 2022 г. (с последующими изменениями) установлены особенности организации и осуществления государственного контроля (надзора), муниципального контроля.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Данным Постановлением введён мораторий на проведение до 2030 года плановых контрольных (надзорных) мероприятий, за исключением </w:t>
      </w:r>
      <w:r>
        <w:rPr>
          <w:rFonts w:cs="Times New Roman" w:ascii="Times New Roman" w:hAnsi="Times New Roman"/>
          <w:color w:val="22272F"/>
          <w:sz w:val="32"/>
          <w:szCs w:val="32"/>
        </w:rPr>
        <w:t xml:space="preserve">контрольных (надзорных) мероприятий в отношении опасных производственных объектов II класса опасности, гидротехнических </w:t>
      </w:r>
      <w:r>
        <w:rPr>
          <w:rFonts w:cs="Times New Roman" w:ascii="Times New Roman" w:hAnsi="Times New Roman"/>
          <w:sz w:val="32"/>
          <w:szCs w:val="32"/>
        </w:rPr>
        <w:t xml:space="preserve">сооружений </w:t>
      </w:r>
      <w:r>
        <w:rPr>
          <w:rFonts w:cs="Times New Roman" w:ascii="Times New Roman" w:hAnsi="Times New Roman"/>
          <w:sz w:val="32"/>
          <w:szCs w:val="32"/>
          <w:lang w:val="en-US"/>
        </w:rPr>
        <w:t>II</w:t>
      </w:r>
      <w:r>
        <w:rPr>
          <w:rFonts w:cs="Times New Roman" w:ascii="Times New Roman" w:hAnsi="Times New Roman"/>
          <w:sz w:val="32"/>
          <w:szCs w:val="32"/>
        </w:rPr>
        <w:t xml:space="preserve"> класса и объектов контроля чрезвычайно высокого и высокого риска.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color w:val="22272F"/>
          <w:sz w:val="32"/>
          <w:szCs w:val="32"/>
        </w:rPr>
        <w:t xml:space="preserve">(слайд № 4) </w:t>
      </w:r>
      <w:r>
        <w:rPr>
          <w:rFonts w:cs="Times New Roman" w:ascii="Times New Roman" w:hAnsi="Times New Roman"/>
          <w:color w:val="22272F"/>
          <w:sz w:val="32"/>
          <w:szCs w:val="32"/>
        </w:rPr>
        <w:t xml:space="preserve">В связи с введенными ограничениями, в целях недопущения повышения уровня аварийности и травматизма                                              на поднадзорных объектах, Управлением был взят курс на усиление профилактической работы.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Управлением сформирован перечни контролируемых лиц,                                            в отношении которых запланировано проведение профилактических мероприятий в организаций, эксплуатирующих опасные производственные объекты, а также объекты энергонадзора. Каждое предприятие закреплено               за ответственными лицами (инспекторами надзорных отделов).</w:t>
      </w:r>
    </w:p>
    <w:p>
      <w:pPr>
        <w:pStyle w:val="Normal"/>
        <w:spacing w:lineRule="auto" w:line="36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b/>
          <w:sz w:val="32"/>
          <w:szCs w:val="32"/>
          <w:shd w:fill="FFFFFF" w:val="clear"/>
        </w:rPr>
        <w:t xml:space="preserve">(слайд № 5) </w:t>
      </w:r>
      <w:r>
        <w:rPr>
          <w:rFonts w:cs="Times New Roman" w:ascii="Times New Roman" w:hAnsi="Times New Roman"/>
          <w:sz w:val="32"/>
          <w:szCs w:val="32"/>
          <w:shd w:fill="FFFFFF" w:val="clear"/>
        </w:rPr>
        <w:t>Применительно к организациям, эксплуатирующим опасные производственные объекты, Управлением проводится анализ имеющейся в нашем распоряжении информации, в частности:</w:t>
      </w:r>
    </w:p>
    <w:p>
      <w:pPr>
        <w:pStyle w:val="Normal"/>
        <w:spacing w:lineRule="auto" w:line="36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>- анализируется вопрос наличия у предприятия лицензии</w:t>
        <w:br/>
        <w:t>на осуществление деятельности по эксплуатации взрывопожароопасных</w:t>
        <w:br/>
        <w:t xml:space="preserve">и химически опасных производственных объектов </w:t>
      </w:r>
      <w:r>
        <w:rPr>
          <w:rFonts w:cs="Times New Roman" w:ascii="Times New Roman" w:hAnsi="Times New Roman"/>
          <w:sz w:val="32"/>
          <w:szCs w:val="32"/>
          <w:shd w:fill="FFFFFF" w:val="clear"/>
          <w:lang w:val="en-US"/>
        </w:rPr>
        <w:t>I</w:t>
      </w:r>
      <w:r>
        <w:rPr>
          <w:rFonts w:cs="Times New Roman" w:ascii="Times New Roman" w:hAnsi="Times New Roman"/>
          <w:sz w:val="32"/>
          <w:szCs w:val="32"/>
          <w:shd w:fill="FFFFFF" w:val="clear"/>
        </w:rPr>
        <w:t xml:space="preserve">, </w:t>
      </w:r>
      <w:r>
        <w:rPr>
          <w:rFonts w:cs="Times New Roman" w:ascii="Times New Roman" w:hAnsi="Times New Roman"/>
          <w:sz w:val="32"/>
          <w:szCs w:val="32"/>
          <w:shd w:fill="FFFFFF" w:val="clear"/>
          <w:lang w:val="en-US"/>
        </w:rPr>
        <w:t>II</w:t>
      </w:r>
      <w:r>
        <w:rPr>
          <w:rFonts w:cs="Times New Roman" w:ascii="Times New Roman" w:hAnsi="Times New Roman"/>
          <w:sz w:val="32"/>
          <w:szCs w:val="32"/>
          <w:shd w:fill="FFFFFF" w:val="clear"/>
        </w:rPr>
        <w:t xml:space="preserve"> и </w:t>
      </w:r>
      <w:r>
        <w:rPr>
          <w:rFonts w:cs="Times New Roman" w:ascii="Times New Roman" w:hAnsi="Times New Roman"/>
          <w:sz w:val="32"/>
          <w:szCs w:val="32"/>
          <w:shd w:fill="FFFFFF" w:val="clear"/>
          <w:lang w:val="en-US"/>
        </w:rPr>
        <w:t>III</w:t>
      </w:r>
      <w:r>
        <w:rPr>
          <w:rFonts w:cs="Times New Roman" w:ascii="Times New Roman" w:hAnsi="Times New Roman"/>
          <w:sz w:val="32"/>
          <w:szCs w:val="32"/>
          <w:shd w:fill="FFFFFF" w:val="clear"/>
        </w:rPr>
        <w:t xml:space="preserve"> классов опасности и соответствие видов работ, указанных в лицензии, фактически выполняемым;</w:t>
      </w:r>
    </w:p>
    <w:p>
      <w:pPr>
        <w:pStyle w:val="Normal"/>
        <w:spacing w:lineRule="auto" w:line="36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>- анализируются предоставленные в Управление отчеты</w:t>
        <w:br/>
        <w:t>об осуществлении производственного контроля за 202</w:t>
      </w:r>
      <w:r>
        <w:rPr>
          <w:rFonts w:cs="Times New Roman" w:ascii="Times New Roman" w:hAnsi="Times New Roman"/>
          <w:sz w:val="32"/>
          <w:szCs w:val="32"/>
          <w:shd w:fill="FFFFFF" w:val="clear"/>
        </w:rPr>
        <w:t>4</w:t>
      </w:r>
      <w:r>
        <w:rPr>
          <w:rFonts w:cs="Times New Roman" w:ascii="Times New Roman" w:hAnsi="Times New Roman"/>
          <w:sz w:val="32"/>
          <w:szCs w:val="32"/>
          <w:shd w:fill="FFFFFF" w:val="clear"/>
        </w:rPr>
        <w:t xml:space="preserve"> год, в том числе</w:t>
        <w:br/>
        <w:t>на предмет наличия аттестации в области промышленной безопасности руководителей организаций и лиц, ответственных за осуществление производственного контроля. Все протоколы аттестации проверяются</w:t>
        <w:br/>
        <w:t xml:space="preserve">на легитимность; </w:t>
      </w:r>
    </w:p>
    <w:p>
      <w:pPr>
        <w:pStyle w:val="Normal"/>
        <w:spacing w:lineRule="auto" w:line="360" w:before="0" w:after="0"/>
        <w:ind w:firstLine="709"/>
        <w:jc w:val="both"/>
        <w:rPr>
          <w:shd w:fill="FFFFFF" w:val="clear"/>
        </w:rPr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>- анализируются заключения экспертизы промышленной безопасности, внесенные в соответствующий реестр на предмет: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284" w:hanging="360"/>
        <w:contextualSpacing/>
        <w:jc w:val="both"/>
        <w:rPr>
          <w:shd w:fill="FFFFFF" w:val="clear"/>
        </w:rPr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>Выявления технических устройств, зданий, сооружений,</w:t>
        <w:br/>
        <w:t>у которых истек срок дальнейшей безопасной эксплуатации;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284" w:hanging="360"/>
        <w:contextualSpacing/>
        <w:jc w:val="both"/>
        <w:rPr>
          <w:shd w:fill="FFFFFF" w:val="clear"/>
        </w:rPr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>Выявления технических устройств, зданий, сооружений,</w:t>
        <w:br/>
        <w:t>не в полной мере соответствующих либо несоответствующих требованиям промышленной безопасности;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284" w:hanging="360"/>
        <w:contextualSpacing/>
        <w:jc w:val="both"/>
        <w:rPr>
          <w:shd w:fill="FFFFFF" w:val="clear"/>
        </w:rPr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>Соответствия опасных производственных объектов, сведениям, содержащимся в государственном реестре ОПО;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284" w:hanging="360"/>
        <w:contextualSpacing/>
        <w:jc w:val="both"/>
        <w:rPr>
          <w:shd w:fill="FFFFFF" w:val="clear"/>
        </w:rPr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>Наличия информации об авариях, инцидентах, несчастных случаях, произошедших на ОПО.</w:t>
      </w:r>
    </w:p>
    <w:p>
      <w:pPr>
        <w:pStyle w:val="Normal"/>
        <w:spacing w:lineRule="auto" w:line="360" w:before="0" w:after="0"/>
        <w:ind w:firstLine="1069"/>
        <w:jc w:val="both"/>
        <w:rPr>
          <w:rFonts w:ascii="Times New Roman" w:hAnsi="Times New Roman" w:cs="Times New Roman"/>
          <w:sz w:val="32"/>
          <w:szCs w:val="32"/>
          <w:shd w:fill="FFFFFF" w:val="clear"/>
        </w:rPr>
      </w:pPr>
      <w:r>
        <w:rPr>
          <w:rFonts w:cs="Times New Roman" w:ascii="Times New Roman" w:hAnsi="Times New Roman"/>
          <w:b/>
          <w:sz w:val="32"/>
          <w:szCs w:val="32"/>
          <w:shd w:fill="FFFFFF" w:val="clear"/>
        </w:rPr>
        <w:t>(слайд № 6)</w:t>
      </w:r>
      <w:r>
        <w:rPr>
          <w:rFonts w:cs="Times New Roman" w:ascii="Times New Roman" w:hAnsi="Times New Roman"/>
          <w:color w:val="22272F"/>
          <w:sz w:val="32"/>
          <w:szCs w:val="32"/>
          <w:shd w:fill="FFFFFF" w:val="clear"/>
        </w:rPr>
        <w:t xml:space="preserve"> </w:t>
      </w:r>
      <w:r>
        <w:rPr>
          <w:rFonts w:cs="Times New Roman" w:ascii="Times New Roman" w:hAnsi="Times New Roman"/>
          <w:sz w:val="32"/>
          <w:szCs w:val="32"/>
          <w:shd w:fill="FFFFFF" w:val="clear"/>
        </w:rPr>
        <w:t>Применительно к организациям, эксплуатирующим объекты электроэнергетики, Управлением проводится анализ имеющейся</w:t>
        <w:br/>
        <w:t>в нашем распоряжении информации, в частности:</w:t>
      </w:r>
    </w:p>
    <w:p>
      <w:pPr>
        <w:pStyle w:val="Normal"/>
        <w:spacing w:lineRule="auto" w:line="360" w:before="0" w:after="0"/>
        <w:ind w:firstLine="1069"/>
        <w:jc w:val="both"/>
        <w:rPr>
          <w:rFonts w:ascii="Times New Roman" w:hAnsi="Times New Roman" w:cs="Times New Roman"/>
          <w:sz w:val="32"/>
          <w:szCs w:val="32"/>
          <w:shd w:fill="FFFFFF" w:val="clear"/>
        </w:rPr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>•</w:t>
      </w:r>
      <w:r>
        <w:rPr>
          <w:rFonts w:cs="Times New Roman" w:ascii="Times New Roman" w:hAnsi="Times New Roman"/>
          <w:sz w:val="32"/>
          <w:szCs w:val="32"/>
          <w:shd w:fill="FFFFFF" w:val="clear"/>
        </w:rPr>
        <w:tab/>
        <w:t>неоднократное объявление предостережений о недопустимости нарушения обязательных требований;</w:t>
      </w:r>
    </w:p>
    <w:p>
      <w:pPr>
        <w:pStyle w:val="Normal"/>
        <w:spacing w:lineRule="auto" w:line="360" w:before="0" w:after="0"/>
        <w:ind w:firstLine="1069"/>
        <w:jc w:val="both"/>
        <w:rPr>
          <w:rFonts w:ascii="Times New Roman" w:hAnsi="Times New Roman" w:cs="Times New Roman"/>
          <w:sz w:val="32"/>
          <w:szCs w:val="32"/>
          <w:shd w:fill="FFFFFF" w:val="clear"/>
        </w:rPr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>•</w:t>
      </w:r>
      <w:r>
        <w:rPr>
          <w:rFonts w:cs="Times New Roman" w:ascii="Times New Roman" w:hAnsi="Times New Roman"/>
          <w:sz w:val="32"/>
          <w:szCs w:val="32"/>
          <w:shd w:fill="FFFFFF" w:val="clear"/>
        </w:rPr>
        <w:tab/>
        <w:t>привлечение к административной ответственности по ч. 1 ст. 19.5 Кодекса Российской Федерации об административных правонарушениях;</w:t>
      </w:r>
    </w:p>
    <w:p>
      <w:pPr>
        <w:pStyle w:val="Normal"/>
        <w:spacing w:lineRule="auto" w:line="360" w:before="0" w:after="0"/>
        <w:ind w:firstLine="1069"/>
        <w:jc w:val="both"/>
        <w:rPr>
          <w:rFonts w:ascii="Times New Roman" w:hAnsi="Times New Roman" w:cs="Times New Roman"/>
          <w:sz w:val="32"/>
          <w:szCs w:val="32"/>
          <w:shd w:fill="FFFFFF" w:val="clear"/>
        </w:rPr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>•</w:t>
      </w:r>
      <w:r>
        <w:rPr>
          <w:rFonts w:cs="Times New Roman" w:ascii="Times New Roman" w:hAnsi="Times New Roman"/>
          <w:sz w:val="32"/>
          <w:szCs w:val="32"/>
          <w:shd w:fill="FFFFFF" w:val="clear"/>
        </w:rPr>
        <w:tab/>
        <w:t>наличие аварий (технологических нарушений) в сетях 110кВ</w:t>
        <w:br/>
        <w:t>и выше, а также несчастных случаев;</w:t>
      </w:r>
    </w:p>
    <w:p>
      <w:pPr>
        <w:pStyle w:val="Normal"/>
        <w:spacing w:lineRule="auto" w:line="360" w:before="0" w:after="0"/>
        <w:ind w:firstLine="1069"/>
        <w:jc w:val="both"/>
        <w:rPr>
          <w:rFonts w:ascii="Times New Roman" w:hAnsi="Times New Roman" w:cs="Times New Roman"/>
          <w:sz w:val="32"/>
          <w:szCs w:val="32"/>
          <w:shd w:fill="FFFFFF" w:val="clear"/>
        </w:rPr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>•</w:t>
      </w:r>
      <w:r>
        <w:rPr>
          <w:rFonts w:cs="Times New Roman" w:ascii="Times New Roman" w:hAnsi="Times New Roman"/>
          <w:sz w:val="32"/>
          <w:szCs w:val="32"/>
          <w:shd w:fill="FFFFFF" w:val="clear"/>
        </w:rPr>
        <w:tab/>
        <w:t>анализ информации, поступившей об отключениях энергообъектов;</w:t>
      </w:r>
    </w:p>
    <w:p>
      <w:pPr>
        <w:pStyle w:val="Normal"/>
        <w:spacing w:lineRule="auto" w:line="360" w:before="0" w:after="0"/>
        <w:ind w:firstLine="1069"/>
        <w:jc w:val="both"/>
        <w:rPr>
          <w:rFonts w:ascii="Times New Roman" w:hAnsi="Times New Roman" w:cs="Times New Roman"/>
          <w:sz w:val="32"/>
          <w:szCs w:val="32"/>
          <w:shd w:fill="FFFFFF" w:val="clear"/>
        </w:rPr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>•</w:t>
      </w:r>
      <w:r>
        <w:rPr>
          <w:rFonts w:cs="Times New Roman" w:ascii="Times New Roman" w:hAnsi="Times New Roman"/>
          <w:sz w:val="32"/>
          <w:szCs w:val="32"/>
          <w:shd w:fill="FFFFFF" w:val="clear"/>
        </w:rPr>
        <w:tab/>
        <w:t>наличие замечаний, послуживших причиной неполучения паспорта или акта готовности к отопительному периоду (для теплоснабжающих организаций) на протяжении нескольких лет;</w:t>
      </w:r>
    </w:p>
    <w:p>
      <w:pPr>
        <w:pStyle w:val="Normal"/>
        <w:spacing w:lineRule="auto" w:line="360" w:before="0" w:after="0"/>
        <w:ind w:firstLine="1069"/>
        <w:jc w:val="both"/>
        <w:rPr>
          <w:rFonts w:ascii="Times New Roman" w:hAnsi="Times New Roman" w:cs="Times New Roman"/>
          <w:sz w:val="32"/>
          <w:szCs w:val="32"/>
          <w:shd w:fill="FFFFFF" w:val="clear"/>
        </w:rPr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>•</w:t>
      </w:r>
      <w:r>
        <w:rPr>
          <w:rFonts w:cs="Times New Roman" w:ascii="Times New Roman" w:hAnsi="Times New Roman"/>
          <w:sz w:val="32"/>
          <w:szCs w:val="32"/>
          <w:shd w:fill="FFFFFF" w:val="clear"/>
        </w:rPr>
        <w:tab/>
        <w:t>анализ результатов прохождения проверки знаний, а именно отрицательных результатов;</w:t>
      </w:r>
    </w:p>
    <w:p>
      <w:pPr>
        <w:pStyle w:val="Normal"/>
        <w:spacing w:lineRule="auto" w:line="360" w:before="0" w:after="0"/>
        <w:ind w:firstLine="1069"/>
        <w:jc w:val="both"/>
        <w:rPr>
          <w:rFonts w:ascii="Times New Roman" w:hAnsi="Times New Roman" w:cs="Times New Roman"/>
          <w:sz w:val="32"/>
          <w:szCs w:val="32"/>
          <w:shd w:fill="FFFFFF" w:val="clear"/>
        </w:rPr>
      </w:pPr>
      <w:r>
        <w:rPr>
          <w:rFonts w:cs="Times New Roman" w:ascii="Times New Roman" w:hAnsi="Times New Roman"/>
          <w:sz w:val="32"/>
          <w:szCs w:val="32"/>
          <w:shd w:fill="FFFFFF" w:val="clear"/>
        </w:rPr>
        <w:t>•</w:t>
      </w:r>
      <w:r>
        <w:rPr>
          <w:rFonts w:cs="Times New Roman" w:ascii="Times New Roman" w:hAnsi="Times New Roman"/>
          <w:sz w:val="32"/>
          <w:szCs w:val="32"/>
          <w:shd w:fill="FFFFFF" w:val="clear"/>
        </w:rPr>
        <w:tab/>
        <w:t>проверка индикаторов риска нарушения обязательных требований, согласно приказу Минэнерго России от 30 декабря 2021 г.</w:t>
        <w:br/>
        <w:t>№ 1540.</w:t>
      </w:r>
    </w:p>
    <w:p>
      <w:pPr>
        <w:pStyle w:val="Normal"/>
        <w:spacing w:lineRule="auto" w:line="360" w:before="0" w:after="0"/>
        <w:ind w:firstLine="1069"/>
        <w:jc w:val="both"/>
        <w:rPr>
          <w:shd w:fill="FFFFFF" w:val="clear"/>
        </w:rPr>
      </w:pPr>
      <w:r>
        <w:rPr>
          <w:rFonts w:cs="Times New Roman" w:ascii="Times New Roman" w:hAnsi="Times New Roman"/>
          <w:b/>
          <w:color w:val="22272F"/>
          <w:sz w:val="32"/>
          <w:szCs w:val="32"/>
          <w:shd w:fill="FFFFFF" w:val="clear"/>
        </w:rPr>
        <w:t xml:space="preserve">(слайд № 7) </w:t>
      </w:r>
      <w:r>
        <w:rPr>
          <w:rFonts w:cs="Times New Roman" w:ascii="Times New Roman" w:hAnsi="Times New Roman"/>
          <w:color w:val="22272F"/>
          <w:sz w:val="32"/>
          <w:szCs w:val="32"/>
          <w:shd w:fill="FFFFFF" w:val="clear"/>
        </w:rPr>
        <w:t>В поднадзорные организации были направлены информационные письма, содержащие: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- обзор характерных нарушений обязательных требований за 2024 г.;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- анализ причин аварий и несчастных случаев на объектах за 2024 г.;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- предложение о проведении самообследования на предмет соблюдения обязательных требований в соответствии с проверочными листами, утвержденными приказами Ростехнадзора, размещенными</w:t>
        <w:br/>
        <w:t>на официальном сайте Управления в информационно-телекоммуникационной сети Интернет;</w:t>
      </w:r>
    </w:p>
    <w:p>
      <w:pPr>
        <w:pStyle w:val="Normal"/>
        <w:spacing w:lineRule="auto" w:line="360" w:before="0" w:after="0"/>
        <w:ind w:firstLine="1069"/>
        <w:jc w:val="both"/>
        <w:rPr>
          <w:shd w:fill="FFFFFF" w:val="clear"/>
        </w:rPr>
      </w:pPr>
      <w:r>
        <w:rPr>
          <w:rFonts w:cs="Times New Roman" w:ascii="Times New Roman" w:hAnsi="Times New Roman"/>
          <w:color w:val="22272F"/>
          <w:sz w:val="32"/>
          <w:szCs w:val="32"/>
          <w:shd w:fill="FFFFFF" w:val="clear"/>
        </w:rPr>
        <w:t>- перечень организационно-технических мероприятий, обеспечивающих безопасное ведение работ на конкретном объекте.</w:t>
      </w:r>
    </w:p>
    <w:p>
      <w:pPr>
        <w:pStyle w:val="Normal"/>
        <w:spacing w:lineRule="auto" w:line="360" w:before="0" w:after="0"/>
        <w:ind w:firstLine="1069"/>
        <w:jc w:val="both"/>
        <w:rPr>
          <w:shd w:fill="FFFFFF" w:val="clear"/>
        </w:rPr>
      </w:pPr>
      <w:r>
        <w:rPr>
          <w:rFonts w:cs="Times New Roman" w:ascii="Times New Roman" w:hAnsi="Times New Roman"/>
          <w:color w:val="22272F"/>
          <w:sz w:val="32"/>
          <w:szCs w:val="32"/>
          <w:shd w:fill="FFFFFF" w:val="clear"/>
        </w:rPr>
        <w:t>По результатам проведенного анализа, при наличии оснований, принимается решение о необходимости объявления контролируемым лицам предостережений о недопустимости нарушения обязательных требований, либо решение о подготовке мотивированного представления, в целях проведения контрольного (надзорного) мероприятия по согласованию</w:t>
        <w:br/>
        <w:t>с органами прокуратуры.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Внеплановые контрольные (надзорные) мероприятия проводятся исключительно по следующим основаниям: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по поручениям Президента Российской Федерации, Председателя</w:t>
        <w:br/>
        <w:t>и Заместителя Председателя Правительства Российской Федерации;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по требованию прокурора;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при непосредственной угрозе причинения и причинении вреда жизни и тяжкого вреда здоровью граждан, обороне страны и безопасности государства, угрозе возникновения и возникновении чрезвычайных ситуаций природного и (или) техногенного характера;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по истечении срока исполнения предписания об устранении выявленного нарушения обязательных требований;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при выявлении индикаторов риска нарушения обязательных требований;</w:t>
      </w:r>
    </w:p>
    <w:p>
      <w:pPr>
        <w:pStyle w:val="Normal"/>
        <w:spacing w:lineRule="auto" w:line="360" w:before="0" w:after="0"/>
        <w:ind w:firstLine="709"/>
        <w:jc w:val="both"/>
        <w:rPr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- при наличии сведений об осуществлении деятельности без лицензии, предусмотренной для видов деятельности, указанных в пункте 12 части</w:t>
        <w:br/>
        <w:t>1 статьи 12 Федерального закона от 4 мая 2011 года № 99-ФЗ</w:t>
        <w:br/>
        <w:t>«О лицензировании отдельных видов деятельности»</w:t>
      </w:r>
      <w:r>
        <w:rPr>
          <w:rFonts w:ascii="Times New Roman" w:hAnsi="Times New Roman"/>
          <w:sz w:val="32"/>
          <w:szCs w:val="32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b/>
          <w:color w:val="22272F"/>
          <w:sz w:val="32"/>
          <w:szCs w:val="32"/>
          <w:shd w:fill="FFFFFF" w:val="clear"/>
        </w:rPr>
        <w:t xml:space="preserve">(слайд № 8) </w:t>
      </w:r>
      <w:r>
        <w:rPr>
          <w:rFonts w:ascii="Times New Roman" w:hAnsi="Times New Roman"/>
          <w:sz w:val="32"/>
          <w:szCs w:val="32"/>
        </w:rPr>
        <w:t>К индикаторам риска нарушения обязательных требований в области промышленной безопасности относятся: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поступление информации о трёх и более инцидентах, произошедших на опасном производственном объекте в течение одного календарного года;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наличие в акте технического расследования причин аварии сведений о причинах аварии, связанных с нарушением требований промышленной безопасности на опасном производственном объекте;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отсутствие в реестре лицензий сведений о лицензии на эксплуатацию взрывопожароопасных и химически опасных производственных объектов</w:t>
        <w:br/>
        <w:t>I, II и III классов опасности в течение 4 месяцев с даты регистрации в государственном реестре опасных производственных объектов;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наличие сведений об опасном производственном объекте III, IV класса опасности в государственном реестре опасных производственных объектов по истечении 2 лет с даты внесения сведений в реестр заключений экспертизы промышленной безопасности об экспертизе промышленной безопасности, проведенной в отношении документации на консервацию или ликвидацию такого объекта;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исключение сведений о юридическом лице (индивидуальном предпринимателе), эксплуатирующем опасный производственный объект III, IV класса опасности, из единого государственного реестра юридических лиц (единого государственного реестра индивидуальных предпринимателей).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32"/>
          <w:szCs w:val="32"/>
          <w:shd w:fill="FFFFFF" w:val="clear"/>
        </w:rPr>
        <w:t xml:space="preserve">(слайд № 9) </w:t>
      </w:r>
      <w:r>
        <w:rPr>
          <w:rFonts w:ascii="Times New Roman" w:hAnsi="Times New Roman"/>
          <w:sz w:val="32"/>
          <w:szCs w:val="32"/>
        </w:rPr>
        <w:t>С 20 июня 2023 г. определены еще 3 индикатора риска</w:t>
      </w:r>
      <w:r>
        <w:rPr/>
        <w:t xml:space="preserve"> </w:t>
      </w:r>
      <w:r>
        <w:rPr>
          <w:rFonts w:ascii="Times New Roman" w:hAnsi="Times New Roman"/>
          <w:sz w:val="32"/>
          <w:szCs w:val="32"/>
        </w:rPr>
        <w:t>нарушения обязательных требований в области промышленной безопасности:</w:t>
      </w:r>
    </w:p>
    <w:p>
      <w:pPr>
        <w:pStyle w:val="Normal"/>
        <w:spacing w:lineRule="auto" w:line="360" w:before="0" w:after="0"/>
        <w:ind w:firstLine="709"/>
        <w:jc w:val="both"/>
        <w:rPr>
          <w:color w:val="000000"/>
        </w:rPr>
      </w:pPr>
      <w:r>
        <w:rPr>
          <w:rFonts w:ascii="Times New Roman" w:hAnsi="Times New Roman"/>
          <w:sz w:val="32"/>
          <w:szCs w:val="32"/>
        </w:rPr>
        <w:t xml:space="preserve">- отсутствие </w:t>
      </w:r>
      <w:r>
        <w:rPr>
          <w:rFonts w:ascii="Times New Roman" w:hAnsi="Times New Roman"/>
          <w:color w:val="000000"/>
          <w:sz w:val="32"/>
          <w:szCs w:val="32"/>
        </w:rPr>
        <w:t>сведений о заключении экспертизы промышленной безопасности, содержащем срок дальнейшей безопасной эксплуатации технического устройства, применяемого на опасном производственном объекте III или IV класса опасности, или сведений о выводе</w:t>
        <w:br/>
        <w:t>из эксплуатации такого технического устройства по истечении года после установленного срока его эксплуатации;</w:t>
      </w:r>
    </w:p>
    <w:p>
      <w:pPr>
        <w:pStyle w:val="Normal"/>
        <w:spacing w:lineRule="auto" w:line="360" w:before="0" w:after="0"/>
        <w:ind w:firstLine="709"/>
        <w:jc w:val="both"/>
        <w:rPr>
          <w:rFonts w:ascii="PT Serif;serif" w:hAnsi="PT Serif;serif"/>
          <w:color w:val="000000"/>
          <w:sz w:val="23"/>
        </w:rPr>
      </w:pPr>
      <w:r>
        <w:rPr>
          <w:rFonts w:ascii="Times New Roman" w:hAnsi="Times New Roman"/>
          <w:color w:val="000000"/>
          <w:sz w:val="32"/>
          <w:szCs w:val="32"/>
        </w:rPr>
        <w:t>- отсутствие сведений о заключении экспертизы промышленной безопасности, содержащем вывод о соответствии здания или сооружения</w:t>
        <w:br/>
        <w:t>на опасном производственном объекте III или IV класса опасности требованиям промышленной безопасности, либо сведений о выводе</w:t>
        <w:br/>
        <w:t>из эксплуатации такого здания или сооружения по истечении года с даты внесения в реестр заключений экспертизы промышленной безопасности заключения, содержащего вывод о несоответствии такого здания или сооружения требованиям промышленной безопасности;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- факт выдачи экспертом в области промышленной </w:t>
      </w:r>
      <w:r>
        <w:rPr>
          <w:rFonts w:ascii="Times New Roman" w:hAnsi="Times New Roman"/>
          <w:sz w:val="32"/>
          <w:szCs w:val="32"/>
        </w:rPr>
        <w:t>безопасности заведомо ложного заключения экспертизы промышленной безопасности</w:t>
        <w:br/>
        <w:t>в отношении объекта экспертизы заказчика, при наличии в реестре заключений экспертизы промышленной безопасности сведений</w:t>
        <w:br/>
        <w:t>о заключении экспертизы промышленной безопасности, содержащем вывод о соответствии объекта экспертизы требованиям промышленной безопасности, выданном указанным экспертом в отношении иных объектов экспертизы этого заказчика в течение двух лет, предшествующих дате привлечения эксперта к административной ответственности.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shd w:fill="FFFFFF" w:val="clear"/>
        </w:rPr>
        <w:t xml:space="preserve">(слайд № 10) </w:t>
      </w:r>
      <w:r>
        <w:rPr>
          <w:rFonts w:ascii="Times New Roman" w:hAnsi="Times New Roman"/>
          <w:sz w:val="32"/>
          <w:szCs w:val="32"/>
        </w:rPr>
        <w:t>В 2024 г. вступили в силу изменения с еще двумя  индикаторами риска</w:t>
      </w:r>
      <w:r>
        <w:rPr/>
        <w:t xml:space="preserve"> </w:t>
      </w:r>
      <w:r>
        <w:rPr>
          <w:rFonts w:ascii="Times New Roman" w:hAnsi="Times New Roman"/>
          <w:sz w:val="32"/>
          <w:szCs w:val="32"/>
        </w:rPr>
        <w:t>нарушения обязательных требований в области промышленной безопасности: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непоступление в территориальный орган Ростехнадзора                                        от юридического лица (индивидуального предпринимателя), эксплуатирующего опасный производственный объект III или IV класса опасности, заявления о внесении изменений в сведения об указанном объекте, содержащиеся в государственном реестре опасных производственных объектов, по истечении двух лет с даты внесения</w:t>
        <w:br/>
        <w:t>в реестр заключений экспертизы промышленной безопасности заключения, содержащего вывод о соответствии документации на техническое перевооружение, связанной с модернизацией или заменой технических устройств на указанных объектах, требованиям промышленной безопасности (при условии отсутствия информации о непроведении технического перевооружения на объекте);</w:t>
      </w:r>
    </w:p>
    <w:p>
      <w:pPr>
        <w:pStyle w:val="Normal"/>
        <w:spacing w:lineRule="auto" w:line="360" w:before="0" w:after="0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- осуществление юридическим лицом деятельности по разработке, производству, испытанию, хранению, утилизации пиротехнических изделий IV и V классов на основании лицензии (далее - деятельность, связанная</w:t>
        <w:br/>
        <w:t>с пиротехническими изделиями) при отсутствии у Ростехнадзора (территориального органа Ростехнадзора) сведений о наличии у этого юридического лица в течение более 30 календарных дней со дня получения такой лицензии (внесения изменений в реестр лицензий) лицензии</w:t>
        <w:br/>
        <w:t>на эксплуатацию взрывопожароопасных и химически опасных производственных объектов I, II, и III классов опасности, дающей право осуществления работ в рамках лицензируемого вида деятельности</w:t>
        <w:br/>
        <w:t>по адресу места осуществления лицензируемого вида деятельности, указанному в реестре лицензий, для деятельности, связанной</w:t>
        <w:br/>
        <w:t>с пиротехническими изделиями (при условии непоступления в течение указанного срока заявления о предоставлении лицензии на эксплуатацию взрывопожароопасных и химически опасных производственных объектов</w:t>
        <w:br/>
        <w:t>I, II, и III классов опасности или внесении изменений в реестр лицензий</w:t>
        <w:br/>
        <w:t>в связи с дополнением сведениями о месте осуществления такого вида деятельности по адресу, указанному в реестре лицензий для деятельности, связанной с пиротехническими изделиями).</w:t>
      </w:r>
    </w:p>
    <w:p>
      <w:pPr>
        <w:pStyle w:val="Normal"/>
        <w:spacing w:lineRule="auto" w:line="360" w:before="0" w:after="0"/>
        <w:ind w:firstLine="709"/>
        <w:jc w:val="both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(слайд № 11)</w:t>
      </w:r>
      <w:r>
        <w:rPr>
          <w:rFonts w:cs="Times New Roman" w:ascii="Times New Roman" w:hAnsi="Times New Roman"/>
          <w:sz w:val="32"/>
          <w:szCs w:val="32"/>
        </w:rPr>
        <w:t xml:space="preserve"> С </w:t>
      </w:r>
      <w:r>
        <w:rPr>
          <w:rFonts w:ascii="Times New Roman" w:hAnsi="Times New Roman"/>
          <w:color w:val="000000" w:themeColor="text1"/>
          <w:sz w:val="32"/>
          <w:szCs w:val="32"/>
        </w:rPr>
        <w:t>3 мая 2025 г. действует одиннадцатый индикатор риска:</w:t>
      </w:r>
    </w:p>
    <w:p>
      <w:pPr>
        <w:pStyle w:val="Normal"/>
        <w:spacing w:lineRule="auto" w:line="360" w:before="0" w:after="0"/>
        <w:ind w:firstLine="709"/>
        <w:jc w:val="both"/>
        <w:rPr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>- непредставление юридическим лицом (индивидуальным предпринимателем), эксплуатирующим опасный производственный объект, документов, необходимых для его перерегистрации в соответствии</w:t>
        <w:br/>
        <w:t>со статьей 10 Федерального закона от 4 марта 2013 г. № 22-ФЗ «О внесении изменений в Федеральный закон «О промышленной безопасности опасных производственных объектов», отдельные законодательные акты Российской Федерации и о признании утратившим силу подпункта 114 пункта 1 статьи 333.33 части второй Налогового кодекса Российской Федерации.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32"/>
          <w:szCs w:val="32"/>
        </w:rPr>
        <w:t>(слайд № 12)</w:t>
      </w:r>
      <w:r>
        <w:rPr>
          <w:rFonts w:cs="Times New Roman" w:ascii="Times New Roman" w:hAnsi="Times New Roman"/>
          <w:sz w:val="32"/>
          <w:szCs w:val="32"/>
        </w:rPr>
        <w:t xml:space="preserve"> К индикаторам риска нарушения обязательных требований по федеральному государственному энергетическому надзору относятся: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i/>
          <w:i/>
          <w:sz w:val="32"/>
          <w:szCs w:val="32"/>
        </w:rPr>
      </w:pPr>
      <w:r>
        <w:rPr>
          <w:rFonts w:cs="Times New Roman" w:ascii="Times New Roman" w:hAnsi="Times New Roman"/>
          <w:i/>
          <w:sz w:val="32"/>
          <w:szCs w:val="32"/>
        </w:rPr>
        <w:t xml:space="preserve">для потребителей электрической энергии, теплоснабжающих организаций, теплосетевых организаций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- установление комиссией по проведению технического освидетельствования значения индекса технического состояния объекта технического освидетельствования от "0" до "26" включительно или принятие комиссией решения о допуске к работе объекта технического освидетельствования при проведении соответствующих технических мероприятий либо о прекращении эксплуатации в результате проведения технического освидетельствования;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i/>
          <w:i/>
          <w:sz w:val="32"/>
          <w:szCs w:val="32"/>
        </w:rPr>
      </w:pPr>
      <w:r>
        <w:rPr>
          <w:rFonts w:cs="Times New Roman" w:ascii="Times New Roman" w:hAnsi="Times New Roman"/>
          <w:i/>
          <w:sz w:val="32"/>
          <w:szCs w:val="32"/>
        </w:rPr>
        <w:t>для субъектов электроэнергетики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- достижение основным технологическим оборудованием и линиями электропередачи электрических станций и электрических сетей значения индекса технического состояния равного или ниже "25";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- установление комиссией значения индекса технического состояния объекта технического освидетельствования от "0" до "26" включительно или принятие комиссией решения о допуске к работе объекта технического освидетельствования при проведении соответствующих технических мероприятий либо о прекращении эксплуатации в результате проведения технического освидетельствования;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(слайд № 13)</w:t>
      </w:r>
      <w:r>
        <w:rPr>
          <w:rFonts w:cs="Times New Roman" w:ascii="Times New Roman" w:hAnsi="Times New Roman"/>
          <w:sz w:val="32"/>
          <w:szCs w:val="32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>- установление Минэнерго России в ходе осуществления мониторинга риска нарушения работы субъектов электроэнергетики в сфере электроэнергетики</w:t>
      </w:r>
      <w:r>
        <w:rPr>
          <w:sz w:val="32"/>
          <w:szCs w:val="32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32"/>
          <w:szCs w:val="32"/>
        </w:rPr>
        <w:t>в отношении субъекта электроэнергетики в течение шести отчетных месяцев подряд двух и более раз следующих показателей</w:t>
        <w:br/>
        <w:t>в совокупности в отношении одного из объектов оценки готовности: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0" w:firstLine="709"/>
        <w:contextualSpacing w:val="false"/>
        <w:jc w:val="both"/>
        <w:rPr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>значение индекса готовности, рассчитанное в соответствии</w:t>
        <w:br/>
        <w:t>с Методикой проведения оценки готовности субъектов электроэнергетики</w:t>
        <w:br/>
        <w:t>к работе в отопительный сезон, утвержденной приказом Минэнерго России от 27 декабря 2017 г. № 1233, объекта оценки готовности субъекта электроэнергетики, указанного в пункте 1.4 Методики, менее «80»;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0" w:firstLine="709"/>
        <w:contextualSpacing w:val="false"/>
        <w:jc w:val="both"/>
        <w:rPr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>достижение объектом оценки готовности с уровнем готовности "Не готов" установленной величины одного и более предусмотренных Методикой специализированных индикаторов в группах условий готовности объектов оценки готовности, оценка выполнения которых</w:t>
        <w:br/>
        <w:t>в соответствии с пунктом 2.6 Методики составила менее «100»;</w:t>
      </w:r>
    </w:p>
    <w:p>
      <w:pPr>
        <w:pStyle w:val="ListParagraph"/>
        <w:spacing w:lineRule="auto" w:line="360" w:before="0" w:after="0"/>
        <w:ind w:left="709" w:hanging="0"/>
        <w:contextualSpacing w:val="false"/>
        <w:jc w:val="both"/>
        <w:rPr>
          <w:sz w:val="32"/>
          <w:szCs w:val="32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</w:rPr>
        <w:t>(слайд № 14)</w:t>
      </w:r>
    </w:p>
    <w:p>
      <w:pPr>
        <w:pStyle w:val="ListParagraph"/>
        <w:spacing w:lineRule="auto" w:line="360" w:before="0" w:after="0"/>
        <w:ind w:left="0" w:firstLine="709"/>
        <w:contextualSpacing w:val="false"/>
        <w:jc w:val="both"/>
        <w:rPr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>- установление Минэнерго России в ходе осуществления мониторинга риска нарушения работы субъектов электроэнергетики в сфере электроэнергетики в соответствии с разделом II Правил № 543 в отношении территориальной сетевой организации в течение шести отчетных месяцев подряд значения индекса надежного функционирования менее «85» (уровень риска «Высокий»), рассчитанного в соответствии</w:t>
        <w:br/>
        <w:t>с Методикой;</w:t>
      </w:r>
    </w:p>
    <w:p>
      <w:pPr>
        <w:pStyle w:val="ListParagraph"/>
        <w:spacing w:lineRule="auto" w:line="360" w:before="0" w:after="0"/>
        <w:ind w:left="0" w:firstLine="709"/>
        <w:contextualSpacing w:val="false"/>
        <w:jc w:val="both"/>
        <w:rPr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>- увеличение на 30% и более за отчетный квартал текущего календарного года по сравнению с аналогичным периодом предыдущего календарного года количества аварий на электростанции или на объекте электросетевого хозяйства, расследуемых в соответствии с пунктом</w:t>
        <w:br/>
        <w:t>5 Правил расследования причин аварий в электроэнергетике, утвержденных постановлением Правительства Российской Федерации от 28 октября 2009 г. № 846, за исключением аварий, произошедших в результате обстоятельств непреодолимой силы либо сверхрасчетных природно-климатических нагрузок (условий) или вследствие иных обстоятельств, исключающих ответственность собственника или иного законного владельца объекта электроэнергетики (при условии, что указанное увеличение на 30% и более соответствует увеличению количества таких аварий на пять или более);</w:t>
      </w:r>
    </w:p>
    <w:p>
      <w:pPr>
        <w:pStyle w:val="ListParagraph"/>
        <w:spacing w:lineRule="auto" w:line="360" w:before="0" w:after="0"/>
        <w:ind w:left="0" w:firstLine="709"/>
        <w:contextualSpacing w:val="false"/>
        <w:jc w:val="both"/>
        <w:rPr>
          <w:sz w:val="32"/>
          <w:szCs w:val="32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</w:rPr>
        <w:t>(слайд № 15)</w:t>
      </w:r>
    </w:p>
    <w:p>
      <w:pPr>
        <w:pStyle w:val="ListParagraph"/>
        <w:spacing w:lineRule="auto" w:line="360" w:before="0" w:after="0"/>
        <w:ind w:left="0" w:firstLine="709"/>
        <w:contextualSpacing w:val="false"/>
        <w:jc w:val="both"/>
        <w:rPr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>- увеличение на 30% и более за отчетный квартал текущего календарного года по сравнению с аналогичным периодом предыдущего календарного года аварийных ситуаций на объекте теплоснабжения, расследуемых в соответствии с пунктом 4 Правил расследования причин аварийных ситуаций при теплоснабжении, утвержденных постановлением Правительства Российской Федерации от 2 июня 2022 г. № 1014,</w:t>
        <w:br/>
        <w:t>не связанных с нарушением обязательных требований и произошедших вследствие ошибочных или неправильных действий (или бездействия) персонала, неудовлетворительного качества производственных</w:t>
        <w:br/>
        <w:t xml:space="preserve">и должностных инструкций, дефектов (недостатков) проекта, конструкций, изготовления, монтажа, невыявленных или неклассифицированных причин, за исключением воздействия стихийных явлений или воздействия посторонних организаций, не участвующих в технологическом процессе, либо обеспечивающих его (при условии, что указанное увеличение на 30% </w:t>
        <w:br/>
        <w:t xml:space="preserve">и более соответствует увеличению количества таких аварийных ситуаций </w:t>
        <w:br/>
        <w:t>на пять или более).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</w:r>
    </w:p>
    <w:p>
      <w:pPr>
        <w:pStyle w:val="Normal"/>
        <w:spacing w:lineRule="auto" w:line="360" w:before="0" w:after="0"/>
        <w:ind w:firstLine="709"/>
        <w:jc w:val="both"/>
        <w:rPr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>Обращаю внимание организаций, эксплуатирующих опасные производственные объекты, на то, что с 1 сентября 2024 г. вступило в силу изменение в Федеральный закон от 21 июля 1997 г. № 116-ФЗ</w:t>
        <w:br/>
        <w:t>«О промышленной безопасности опасных производственных объектов», согласно которому:</w:t>
      </w:r>
    </w:p>
    <w:p>
      <w:pPr>
        <w:pStyle w:val="Normal"/>
        <w:spacing w:lineRule="auto" w:line="360" w:before="0" w:after="0"/>
        <w:ind w:firstLine="709"/>
        <w:jc w:val="both"/>
        <w:rPr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>- техническое устройство подлежит экспертизе промышленной безопасности при отсутствии в технической документации данных о сроке службы такого технического устройства, если фактический срок его службы превышает десять лет, а не двадцать лет, как это было ранее (статья 7 Федерального закона № 116-ФЗ).</w:t>
      </w:r>
    </w:p>
    <w:p>
      <w:pPr>
        <w:pStyle w:val="Normal"/>
        <w:spacing w:lineRule="auto" w:line="360" w:before="0" w:after="0"/>
        <w:ind w:firstLine="709"/>
        <w:jc w:val="both"/>
        <w:rPr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 xml:space="preserve">В связи с чем, эксплуатирующим организациям необходимо провести анализ состояния технических устройств на предмет необходимости проведения экспертизы промышленной безопасности в случае истечения фактического срока службы. </w:t>
      </w:r>
    </w:p>
    <w:p>
      <w:pPr>
        <w:pStyle w:val="Normal"/>
        <w:spacing w:lineRule="auto" w:line="360" w:before="0" w:after="0"/>
        <w:ind w:firstLine="709"/>
        <w:jc w:val="both"/>
        <w:rPr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>Кроме того, напоминаю, что в связи с вступлением с 28 декабря 2023 г. изменений в постановление Правительства РФ от 12 марта 2022 г. № 353</w:t>
        <w:br/>
        <w:t>«Об особенностях разрешительной деятельности в Российской Федерации» не продлено действие разрешительного режима, связанного</w:t>
        <w:br/>
        <w:t>с возможностью осуществления деятельности по эксплуатации взрывопожароопасных и химически опасных производственных объектов</w:t>
        <w:br/>
        <w:t>I, II и III классов опасности, без внесения изменений в реестр лицензий</w:t>
        <w:br/>
        <w:t>в связи с изменением адреса места осуществления лицензируемого вида деятельности, указанного в реестре лицензий.</w:t>
      </w:r>
    </w:p>
    <w:p>
      <w:pPr>
        <w:pStyle w:val="Normal"/>
        <w:spacing w:lineRule="auto" w:line="360" w:before="0" w:after="0"/>
        <w:ind w:firstLine="709"/>
        <w:jc w:val="both"/>
        <w:rPr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>Начиная с 2024 года, осуществление деятельности по эксплуатации взрывопожароопасных и химически опасных производственных объектов</w:t>
        <w:br/>
        <w:t>I, II и III классов опасности по адресу, не указанному в лицензии,</w:t>
        <w:br/>
      </w:r>
      <w:bookmarkStart w:id="1" w:name="_GoBack1"/>
      <w:bookmarkEnd w:id="1"/>
      <w:r>
        <w:rPr>
          <w:rFonts w:cs="Times New Roman" w:ascii="Times New Roman" w:hAnsi="Times New Roman"/>
          <w:color w:val="000000" w:themeColor="text1"/>
          <w:sz w:val="32"/>
          <w:szCs w:val="32"/>
        </w:rPr>
        <w:t>без внесения изменений в реестр лицензий не допускается. При выявлении указанных нарушений в ходе контрольных (надзорных) мероприятий Управлением будут выдаваться предписания об устранении выявленных нарушений.</w:t>
      </w:r>
    </w:p>
    <w:p>
      <w:pPr>
        <w:pStyle w:val="Normal"/>
        <w:spacing w:lineRule="auto" w:line="360" w:before="0" w:after="0"/>
        <w:ind w:firstLine="709"/>
        <w:jc w:val="both"/>
        <w:rPr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>В связи с чем, обращаю повышенное внимание эксплуатирующих организаций, осуществляющих деятельность по адресу, не указанному</w:t>
        <w:br/>
        <w:t>в лицензии, на необходимость принятия мер по внесению изменений</w:t>
        <w:br/>
        <w:t>в реестр лицензий.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Контролируемые лица должны быть заинтересованы в принятии исчерпывающих мер, направленных на соблюдение требований безопасности. Предлагаем направить результаты проведенного самообследования в Управление для осуществления консультирования.</w:t>
      </w:r>
    </w:p>
    <w:p>
      <w:pPr>
        <w:pStyle w:val="Normal"/>
        <w:spacing w:lineRule="auto" w:line="360" w:before="0" w:after="0"/>
        <w:ind w:firstLine="708"/>
        <w:jc w:val="both"/>
        <w:rPr>
          <w:rFonts w:ascii="PT Serif;serif" w:hAnsi="PT Serif;serif"/>
          <w:color w:val="000000"/>
          <w:sz w:val="23"/>
        </w:rPr>
      </w:pPr>
      <w:r>
        <w:rPr>
          <w:rFonts w:cs="Times New Roman" w:ascii="Times New Roman" w:hAnsi="Times New Roman"/>
          <w:color w:val="000000"/>
          <w:sz w:val="32"/>
          <w:szCs w:val="32"/>
        </w:rPr>
        <w:t>Обращаю Ваше внимание, что обращение по вопросу осуществления консультирования может быть направлено с использованием федеральной государственной информационной системы "Единый портал государственных и муниципальных услуг (функций)". Такое обращение подлежит рассмотрению в течение 10 рабочих дней со дня его регистрации.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В завершении своего доклада хочу обратить особое внимание</w:t>
        <w:br/>
        <w:t>на реализацию и сохранение угроз осуществления террористических действий на территории Российской Федерации.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Для предупреждения техногенных аварий от внешних воздействий</w:t>
        <w:br/>
        <w:t>на поднадзорных опасных производственных объектах, объектах электроэнергетики и теплоснабжения рекомендуем выполнить мероприятия, направленные на предупреждение осуществления террористических действий.</w:t>
      </w:r>
    </w:p>
    <w:p>
      <w:pPr>
        <w:pStyle w:val="ListParagraph"/>
        <w:spacing w:lineRule="auto" w:line="360" w:before="0" w:after="0"/>
        <w:ind w:left="1440" w:hanging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Благодарю за внимание!</w:t>
      </w:r>
    </w:p>
    <w:sectPr>
      <w:headerReference w:type="default" r:id="rId2"/>
      <w:type w:val="nextPage"/>
      <w:pgSz w:w="11906" w:h="16838"/>
      <w:pgMar w:left="851" w:right="566" w:gutter="0" w:header="708" w:top="1134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Arial">
    <w:charset w:val="01"/>
    <w:family w:val="roman"/>
    <w:pitch w:val="variable"/>
  </w:font>
  <w:font w:name="PT Serif">
    <w:altName w:val="serif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684371974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13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b/>
        <w:color w:val="FFFFFF" w:themeColor="background1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a1de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hAnsiTheme="minorHAnsi"/>
      <w:b w:val="false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a7294e"/>
    <w:rPr>
      <w:rFonts w:ascii="Calibri" w:hAnsi="Calibri" w:cs="" w:asciiTheme="minorHAnsi" w:cstheme="minorBidi" w:hAnsiTheme="minorHAnsi"/>
      <w:b w:val="false"/>
      <w:color w:val="auto"/>
      <w:sz w:val="22"/>
      <w:szCs w:val="22"/>
    </w:rPr>
  </w:style>
  <w:style w:type="character" w:styleId="Style15" w:customStyle="1">
    <w:name w:val="Нижний колонтитул Знак"/>
    <w:basedOn w:val="DefaultParagraphFont"/>
    <w:uiPriority w:val="99"/>
    <w:qFormat/>
    <w:rsid w:val="00a7294e"/>
    <w:rPr>
      <w:rFonts w:ascii="Calibri" w:hAnsi="Calibri" w:cs="" w:asciiTheme="minorHAnsi" w:cstheme="minorBidi" w:hAnsiTheme="minorHAnsi"/>
      <w:b w:val="false"/>
      <w:color w:val="auto"/>
      <w:sz w:val="22"/>
      <w:szCs w:val="22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cb10f8"/>
    <w:rPr>
      <w:rFonts w:ascii="Tahoma" w:hAnsi="Tahoma" w:cs="Tahoma"/>
      <w:b w:val="false"/>
      <w:color w:val="auto"/>
      <w:sz w:val="16"/>
      <w:szCs w:val="16"/>
    </w:rPr>
  </w:style>
  <w:style w:type="character" w:styleId="Style17" w:customStyle="1">
    <w:name w:val="Интернет-ссылка"/>
    <w:basedOn w:val="DefaultParagraphFont"/>
    <w:uiPriority w:val="99"/>
    <w:semiHidden/>
    <w:unhideWhenUsed/>
    <w:rsid w:val="00430b0e"/>
    <w:rPr>
      <w:color w:val="0000FF"/>
      <w:u w:val="single"/>
    </w:rPr>
  </w:style>
  <w:style w:type="character" w:styleId="Style18">
    <w:name w:val="Выделение"/>
    <w:qFormat/>
    <w:rPr>
      <w:i/>
      <w:i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20">
    <w:name w:val="Body Text"/>
    <w:basedOn w:val="Normal"/>
    <w:pPr>
      <w:spacing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1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e1b4b"/>
    <w:pPr>
      <w:spacing w:before="0" w:after="200"/>
      <w:ind w:left="720" w:hanging="0"/>
      <w:contextualSpacing/>
    </w:pPr>
    <w:rPr/>
  </w:style>
  <w:style w:type="paragraph" w:styleId="FORMATTEXT" w:customStyle="1">
    <w:name w:val=".FORMATTEXT"/>
    <w:uiPriority w:val="99"/>
    <w:qFormat/>
    <w:rsid w:val="00a7294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b w:val="false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unhideWhenUsed/>
    <w:rsid w:val="00a7294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uiPriority w:val="99"/>
    <w:unhideWhenUsed/>
    <w:rsid w:val="00a7294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LTOP" w:customStyle="1">
    <w:name w:val="#COL_TOP"/>
    <w:uiPriority w:val="99"/>
    <w:qFormat/>
    <w:rsid w:val="00ee1b3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b w:val="false"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cb10f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466308"/>
    <w:rPr>
      <w:rFonts w:asciiTheme="minorHAnsi" w:hAnsiTheme="minorHAnsi" w:cstheme="minorBidi"/>
      <w:b w:val="0"/>
      <w:color w:val="auto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2629E-E5CF-4050-96A8-28559752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LibreOffice/7.2.4.1$Linux_X86_64 LibreOffice_project/20$Build-1</Application>
  <AppVersion>15.0000</AppVersion>
  <Pages>13</Pages>
  <Words>2694</Words>
  <Characters>16948</Characters>
  <CharactersWithSpaces>19390</CharactersWithSpaces>
  <Paragraphs>88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2024-06-07T14:53:00Z</dcterms:created>
  <dc:creator>1</dc:creator>
  <dc:description/>
  <dc:language>ru-RU</dc:language>
  <cp:lastModifiedBy/>
  <cp:lastPrinted>2022-06-01T05:15:00Z</cp:lastPrinted>
  <dcterms:modified xsi:type="dcterms:W3CDTF">2025-09-08T14:42:35Z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